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B387C" w14:textId="6892A0AC" w:rsidR="000E3180" w:rsidRPr="009870FE" w:rsidRDefault="00F57B7D" w:rsidP="009870FE">
      <w:pPr>
        <w:shd w:val="clear" w:color="auto" w:fill="FFFFFF"/>
        <w:spacing w:after="150" w:line="33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val="en-CA" w:eastAsia="pl-PL"/>
        </w:rPr>
      </w:pPr>
      <w:r w:rsidRPr="009870FE">
        <w:rPr>
          <w:rFonts w:ascii="Arial" w:eastAsia="Times New Roman" w:hAnsi="Arial" w:cs="Arial"/>
          <w:b/>
          <w:bCs/>
          <w:color w:val="333333"/>
          <w:sz w:val="20"/>
          <w:szCs w:val="20"/>
          <w:lang w:val="en-CA" w:eastAsia="pl-PL"/>
        </w:rPr>
        <w:t>European Diplomacy Workshop: Eastern Partnership, Warsaw, Poland</w:t>
      </w:r>
    </w:p>
    <w:p w14:paraId="71B4B67F" w14:textId="77777777" w:rsidR="00F57B7D" w:rsidRPr="009870FE" w:rsidRDefault="00F57B7D" w:rsidP="009870FE">
      <w:pPr>
        <w:shd w:val="clear" w:color="auto" w:fill="FFFFFF"/>
        <w:spacing w:after="150" w:line="33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val="en-CA" w:eastAsia="pl-PL"/>
        </w:rPr>
      </w:pPr>
      <w:r w:rsidRPr="009870FE"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val="en-CA"/>
        </w:rPr>
        <w:t>Deadline:</w:t>
      </w:r>
      <w:r w:rsidR="003A02F7" w:rsidRPr="009870FE">
        <w:rPr>
          <w:rFonts w:ascii="Arial" w:hAnsi="Arial" w:cs="Arial"/>
          <w:color w:val="333333"/>
          <w:sz w:val="20"/>
          <w:szCs w:val="20"/>
          <w:shd w:val="clear" w:color="auto" w:fill="FFFFFF"/>
          <w:lang w:val="en-CA"/>
        </w:rPr>
        <w:t> </w:t>
      </w:r>
      <w:r w:rsidR="003A02F7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Scho</w:t>
      </w:r>
      <w:r w:rsidR="004C3728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larship application deadline: </w:t>
      </w:r>
      <w:r w:rsidR="00E2166B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4 October</w:t>
      </w:r>
      <w:r w:rsidR="004C3728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, 2015</w:t>
      </w:r>
      <w:r w:rsidRPr="009870FE">
        <w:rPr>
          <w:rFonts w:ascii="Arial" w:hAnsi="Arial" w:cs="Arial"/>
          <w:color w:val="333333"/>
          <w:sz w:val="20"/>
          <w:szCs w:val="20"/>
          <w:shd w:val="clear" w:color="auto" w:fill="FFFFFF"/>
          <w:lang w:val="en-CA"/>
        </w:rPr>
        <w:br/>
      </w:r>
      <w:r w:rsidRPr="009870FE"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val="en-CA"/>
        </w:rPr>
        <w:t>Open to: </w:t>
      </w:r>
      <w:r w:rsidR="003A02F7" w:rsidRPr="009870FE">
        <w:rPr>
          <w:rFonts w:ascii="Arial" w:hAnsi="Arial" w:cs="Arial"/>
          <w:color w:val="333333"/>
          <w:sz w:val="20"/>
          <w:szCs w:val="20"/>
          <w:lang w:val="en-CA"/>
        </w:rPr>
        <w:t xml:space="preserve"> </w:t>
      </w:r>
      <w:r w:rsidR="00BD0515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All country participants. Scholarship available for p</w:t>
      </w:r>
      <w:r w:rsidR="003A02F7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articipants from Eastern Partnership countries : Armenia, Azerbaijan, Belarus, Georgia, Moldova, Ukraine.</w:t>
      </w:r>
      <w:r w:rsidR="003A02F7" w:rsidRPr="009870FE">
        <w:rPr>
          <w:rFonts w:ascii="Arial" w:hAnsi="Arial" w:cs="Arial"/>
          <w:color w:val="333333"/>
          <w:sz w:val="20"/>
          <w:szCs w:val="20"/>
          <w:shd w:val="clear" w:color="auto" w:fill="FFFFFF"/>
          <w:lang w:val="en-CA"/>
        </w:rPr>
        <w:t> </w:t>
      </w:r>
      <w:r w:rsidRPr="009870FE">
        <w:rPr>
          <w:rFonts w:ascii="Arial" w:hAnsi="Arial" w:cs="Arial"/>
          <w:color w:val="333333"/>
          <w:sz w:val="20"/>
          <w:szCs w:val="20"/>
          <w:shd w:val="clear" w:color="auto" w:fill="FFFFFF"/>
          <w:lang w:val="en-CA"/>
        </w:rPr>
        <w:br/>
      </w:r>
      <w:r w:rsidRPr="009870FE">
        <w:rPr>
          <w:rStyle w:val="Pogrubieni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val="en-CA"/>
        </w:rPr>
        <w:t>Venue</w:t>
      </w:r>
      <w:r w:rsidRPr="009870FE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  <w:lang w:val="en-CA"/>
        </w:rPr>
        <w:t>:</w:t>
      </w:r>
      <w:r w:rsidRPr="009870FE">
        <w:rPr>
          <w:rFonts w:ascii="Arial" w:hAnsi="Arial" w:cs="Arial"/>
          <w:b/>
          <w:sz w:val="20"/>
          <w:szCs w:val="20"/>
          <w:shd w:val="clear" w:color="auto" w:fill="FFFFFF"/>
          <w:lang w:val="en-CA"/>
        </w:rPr>
        <w:t> </w:t>
      </w:r>
      <w:r w:rsidR="00E2166B" w:rsidRPr="009870FE">
        <w:rPr>
          <w:rFonts w:ascii="Arial" w:hAnsi="Arial" w:cs="Arial"/>
          <w:bCs/>
          <w:sz w:val="20"/>
          <w:szCs w:val="20"/>
          <w:lang w:val="en-US"/>
        </w:rPr>
        <w:t>30 November - 5 December 2015</w:t>
      </w:r>
      <w:r w:rsidRPr="009870FE">
        <w:rPr>
          <w:rFonts w:ascii="Arial" w:eastAsia="Times New Roman" w:hAnsi="Arial" w:cs="Arial"/>
          <w:sz w:val="20"/>
          <w:szCs w:val="20"/>
          <w:lang w:val="en-CA" w:eastAsia="pl-PL"/>
        </w:rPr>
        <w:t xml:space="preserve">, </w:t>
      </w:r>
      <w:r w:rsidR="003A02F7" w:rsidRPr="009870FE">
        <w:rPr>
          <w:rFonts w:ascii="Arial" w:eastAsia="Times New Roman" w:hAnsi="Arial" w:cs="Arial"/>
          <w:sz w:val="20"/>
          <w:szCs w:val="20"/>
          <w:lang w:val="en-CA" w:eastAsia="pl-PL"/>
        </w:rPr>
        <w:t>Warsaw, Poland</w:t>
      </w:r>
      <w:r w:rsidR="003A02F7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.</w:t>
      </w:r>
    </w:p>
    <w:p w14:paraId="5C2AC617" w14:textId="033E6C65" w:rsidR="000E3180" w:rsidRPr="009870FE" w:rsidRDefault="00F57B7D" w:rsidP="009870FE">
      <w:pPr>
        <w:pStyle w:val="Nagwek3"/>
        <w:shd w:val="clear" w:color="auto" w:fill="FFFFFF"/>
        <w:spacing w:before="0" w:line="300" w:lineRule="atLeast"/>
        <w:jc w:val="both"/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en-CA"/>
        </w:rPr>
      </w:pPr>
      <w:r w:rsidRPr="009870FE">
        <w:rPr>
          <w:rFonts w:ascii="Arial" w:eastAsia="Times New Roman" w:hAnsi="Arial" w:cs="Arial"/>
          <w:color w:val="000000"/>
          <w:sz w:val="20"/>
          <w:szCs w:val="20"/>
          <w:u w:val="single"/>
          <w:lang w:val="en-CA" w:eastAsia="pl-PL"/>
        </w:rPr>
        <w:br/>
      </w:r>
      <w:r w:rsidR="003A02F7" w:rsidRPr="009870FE">
        <w:rPr>
          <w:rStyle w:val="Pogrubieni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lang w:val="en-CA"/>
        </w:rPr>
        <w:t>Description</w:t>
      </w:r>
    </w:p>
    <w:p w14:paraId="2F117B7D" w14:textId="6D5D49AF" w:rsidR="003A02F7" w:rsidRPr="009870FE" w:rsidRDefault="003A02F7" w:rsidP="009870FE">
      <w:pPr>
        <w:jc w:val="both"/>
        <w:rPr>
          <w:rFonts w:ascii="Arial" w:hAnsi="Arial" w:cs="Arial"/>
          <w:sz w:val="20"/>
          <w:szCs w:val="20"/>
          <w:lang w:val="en-CA"/>
        </w:rPr>
      </w:pPr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The European Diplomacy Workshop (EDW) is a week-long, first in Europe program devoted solely to the Eastern Partnership, European </w:t>
      </w:r>
      <w:r w:rsidR="000D7A49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Neighbourhood</w:t>
      </w:r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 Policy and European Union Foreign Policy. Based on workshops from experts in the fields of EU Foreign Policy (Eastern Partnership and European </w:t>
      </w:r>
      <w:r w:rsidR="000D7A49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Neighbourhood</w:t>
      </w:r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 Policy), and hands-on skills training in International Negotiations, Strategic Planning and Leadership, the European Diplomacy Workshop is designed for emerging political and social leaders, public servants and non-governmental representatives who are eager to learn how to influence the changing context of their country. </w:t>
      </w:r>
      <w:r w:rsidR="00E2166B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Participants will also have the opportunity to meet the authors of the Eastern Partnership</w:t>
      </w:r>
      <w:r w:rsidR="009870FE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 initiative</w:t>
      </w:r>
      <w:r w:rsidR="00E2166B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, Minister Carl </w:t>
      </w:r>
      <w:proofErr w:type="spellStart"/>
      <w:r w:rsidR="00E2166B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Bildt</w:t>
      </w:r>
      <w:proofErr w:type="spellEnd"/>
      <w:r w:rsidR="00E2166B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 and Minister </w:t>
      </w:r>
      <w:proofErr w:type="spellStart"/>
      <w:r w:rsidR="00E2166B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Radosław</w:t>
      </w:r>
      <w:proofErr w:type="spellEnd"/>
      <w:r w:rsidR="00E2166B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 Sikorski. </w:t>
      </w:r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The program is organised in cooperation with </w:t>
      </w:r>
      <w:hyperlink r:id="rId7" w:tgtFrame="_blank" w:history="1">
        <w:r w:rsidRPr="009870FE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CA" w:eastAsia="pl-PL"/>
          </w:rPr>
          <w:t xml:space="preserve">Konrad Adenauer </w:t>
        </w:r>
        <w:proofErr w:type="spellStart"/>
        <w:r w:rsidRPr="009870FE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CA" w:eastAsia="pl-PL"/>
          </w:rPr>
          <w:t>Stiftung</w:t>
        </w:r>
        <w:proofErr w:type="spellEnd"/>
      </w:hyperlink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 and </w:t>
      </w:r>
      <w:hyperlink r:id="rId8" w:tgtFrame="_blank" w:history="1">
        <w:r w:rsidRPr="009870FE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CA" w:eastAsia="pl-PL"/>
          </w:rPr>
          <w:t>PZU</w:t>
        </w:r>
      </w:hyperlink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.</w:t>
      </w:r>
      <w:r w:rsidR="00E2166B"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 </w:t>
      </w:r>
    </w:p>
    <w:p w14:paraId="6FFE57DD" w14:textId="04E5E993" w:rsidR="000E3180" w:rsidRPr="009870FE" w:rsidRDefault="003A02F7" w:rsidP="009870FE">
      <w:pPr>
        <w:pStyle w:val="Nagwek3"/>
        <w:shd w:val="clear" w:color="auto" w:fill="FFFFFF"/>
        <w:spacing w:before="0" w:line="300" w:lineRule="atLeast"/>
        <w:jc w:val="both"/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en-CA"/>
        </w:rPr>
      </w:pPr>
      <w:r w:rsidRPr="009870FE">
        <w:rPr>
          <w:rStyle w:val="Pogrubieni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lang w:val="en-CA"/>
        </w:rPr>
        <w:t>Eligibility</w:t>
      </w:r>
    </w:p>
    <w:p w14:paraId="45059624" w14:textId="77777777" w:rsidR="00413E4D" w:rsidRPr="009870FE" w:rsidRDefault="00413E4D" w:rsidP="009870FE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</w:pPr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 xml:space="preserve">Participants from all country, who are: </w:t>
      </w:r>
    </w:p>
    <w:p w14:paraId="025DBA73" w14:textId="77777777" w:rsidR="00413E4D" w:rsidRPr="009870FE" w:rsidRDefault="00413E4D" w:rsidP="009870FE">
      <w:pPr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</w:pPr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Emerging political and social leaders who want to make difference in their country</w:t>
      </w:r>
    </w:p>
    <w:p w14:paraId="60C6794F" w14:textId="77777777" w:rsidR="00413E4D" w:rsidRPr="009870FE" w:rsidRDefault="00413E4D" w:rsidP="009870FE">
      <w:pPr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spacing w:after="0" w:line="27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</w:pPr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Internationally minded persons who are interested in public service and have passion for serving their fellow countrymen</w:t>
      </w:r>
    </w:p>
    <w:p w14:paraId="3928B9FF" w14:textId="77777777" w:rsidR="00413E4D" w:rsidRPr="009870FE" w:rsidRDefault="00413E4D" w:rsidP="009870FE">
      <w:pPr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spacing w:after="0" w:line="27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</w:pPr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Professionals eager to acquire the leadership training and skills to take on the world’s most demanding issues</w:t>
      </w:r>
    </w:p>
    <w:p w14:paraId="6A744480" w14:textId="77777777" w:rsidR="00413E4D" w:rsidRPr="009870FE" w:rsidRDefault="00413E4D" w:rsidP="009870FE">
      <w:pPr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</w:pPr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Highly motivated students who are dedicated to mas</w:t>
      </w:r>
      <w:bookmarkStart w:id="0" w:name="_GoBack"/>
      <w:bookmarkEnd w:id="0"/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tering the practice of international relations</w:t>
      </w:r>
    </w:p>
    <w:p w14:paraId="0974CCAD" w14:textId="77777777" w:rsidR="00413E4D" w:rsidRPr="009870FE" w:rsidRDefault="00413E4D" w:rsidP="009870FE">
      <w:pPr>
        <w:pStyle w:val="Akapitzlist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</w:pPr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A select number of scholarships will be awarded to participants from Eastern Partnership countries (Armenia, Azerbaijan, Belarus, Georgia, Moldova, Ukraine).</w:t>
      </w:r>
    </w:p>
    <w:p w14:paraId="60DCCB15" w14:textId="77777777" w:rsidR="00413E4D" w:rsidRPr="009870FE" w:rsidRDefault="00413E4D" w:rsidP="00987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</w:pPr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To be considered for a scholarship, you must be citizen of one of the Eastern Partnership countries:</w:t>
      </w:r>
      <w:r w:rsidRPr="009870FE">
        <w:rPr>
          <w:rFonts w:ascii="Arial" w:hAnsi="Arial" w:cs="Arial"/>
          <w:color w:val="333333"/>
          <w:sz w:val="20"/>
          <w:szCs w:val="20"/>
          <w:shd w:val="clear" w:color="auto" w:fill="FFFFFF"/>
          <w:lang w:val="en-CA"/>
        </w:rPr>
        <w:t xml:space="preserve"> </w:t>
      </w:r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Armenia, Azerbaijan, Belarus, Georgia, Moldova, Ukraine and have completed your 4th year of studies (graduate students, doctoral candidates and early career professionals may also apply).</w:t>
      </w:r>
    </w:p>
    <w:p w14:paraId="1167D45A" w14:textId="77777777" w:rsidR="00413E4D" w:rsidRPr="009870FE" w:rsidRDefault="00413E4D" w:rsidP="00987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</w:pPr>
    </w:p>
    <w:p w14:paraId="574A2D80" w14:textId="77777777" w:rsidR="00253435" w:rsidRPr="009870FE" w:rsidRDefault="00413E4D" w:rsidP="009870FE">
      <w:pPr>
        <w:pStyle w:val="Nagwek3"/>
        <w:shd w:val="clear" w:color="auto" w:fill="FFFFFF"/>
        <w:spacing w:before="0" w:line="300" w:lineRule="atLeast"/>
        <w:jc w:val="both"/>
        <w:rPr>
          <w:rStyle w:val="Pogrubieni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lang w:val="en-CA"/>
        </w:rPr>
      </w:pPr>
      <w:r w:rsidRPr="009870FE">
        <w:rPr>
          <w:rStyle w:val="Pogrubieni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lang w:val="en-CA"/>
        </w:rPr>
        <w:t>Costs</w:t>
      </w:r>
      <w:r w:rsidR="00253435" w:rsidRPr="009870FE">
        <w:rPr>
          <w:rStyle w:val="Pogrubieni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lang w:val="en-CA"/>
        </w:rPr>
        <w:t xml:space="preserve">  and Scholarships</w:t>
      </w:r>
    </w:p>
    <w:p w14:paraId="53C0792A" w14:textId="77777777" w:rsidR="00413E4D" w:rsidRPr="009870FE" w:rsidRDefault="00413E4D" w:rsidP="009870FE">
      <w:pPr>
        <w:pStyle w:val="Nagwek3"/>
        <w:shd w:val="clear" w:color="auto" w:fill="FFFFFF"/>
        <w:spacing w:before="0" w:line="300" w:lineRule="atLeast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val="en-CA" w:eastAsia="pl-PL"/>
        </w:rPr>
      </w:pPr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335 EUR</w:t>
      </w:r>
      <w:r w:rsidRPr="009870FE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val="en-CA" w:eastAsia="pl-PL"/>
        </w:rPr>
        <w:t> (</w:t>
      </w:r>
      <w:r w:rsidRPr="009870FE">
        <w:rPr>
          <w:rFonts w:ascii="Arial" w:eastAsia="Times New Roman" w:hAnsi="Arial" w:cs="Arial"/>
          <w:bCs w:val="0"/>
          <w:color w:val="000000"/>
          <w:sz w:val="20"/>
          <w:szCs w:val="20"/>
          <w:lang w:val="en-CA" w:eastAsia="pl-PL"/>
        </w:rPr>
        <w:t>without accommodation</w:t>
      </w:r>
      <w:r w:rsidRPr="009870FE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val="en-CA" w:eastAsia="pl-PL"/>
        </w:rPr>
        <w:t>) or </w:t>
      </w:r>
      <w:r w:rsidRPr="009870FE">
        <w:rPr>
          <w:rFonts w:ascii="Arial" w:eastAsia="Times New Roman" w:hAnsi="Arial" w:cs="Arial"/>
          <w:color w:val="000000"/>
          <w:sz w:val="20"/>
          <w:szCs w:val="20"/>
          <w:lang w:val="en-CA" w:eastAsia="pl-PL"/>
        </w:rPr>
        <w:t>535 EUR</w:t>
      </w:r>
      <w:r w:rsidRPr="009870FE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val="en-CA" w:eastAsia="pl-PL"/>
        </w:rPr>
        <w:t> (</w:t>
      </w:r>
      <w:r w:rsidRPr="009870FE">
        <w:rPr>
          <w:rFonts w:ascii="Arial" w:eastAsia="Times New Roman" w:hAnsi="Arial" w:cs="Arial"/>
          <w:bCs w:val="0"/>
          <w:color w:val="000000"/>
          <w:sz w:val="20"/>
          <w:szCs w:val="20"/>
          <w:lang w:val="en-CA" w:eastAsia="pl-PL"/>
        </w:rPr>
        <w:t>with accommodation</w:t>
      </w:r>
      <w:r w:rsidRPr="009870FE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val="en-CA" w:eastAsia="pl-PL"/>
        </w:rPr>
        <w:t>). The registration fee includes 6 days of the courses, materials, coffee breaks, lunches, social events and diploma. All participants are expected to arrange their own travel and visas if necessary. </w:t>
      </w:r>
    </w:p>
    <w:p w14:paraId="19F52F28" w14:textId="77777777" w:rsidR="00253435" w:rsidRPr="009870FE" w:rsidRDefault="00253435" w:rsidP="009870FE">
      <w:pPr>
        <w:pStyle w:val="Nagwek3"/>
        <w:shd w:val="clear" w:color="auto" w:fill="FFFFFF"/>
        <w:spacing w:before="0" w:line="300" w:lineRule="atLeast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val="en-CA" w:eastAsia="pl-PL"/>
        </w:rPr>
      </w:pPr>
    </w:p>
    <w:p w14:paraId="6E1EBE69" w14:textId="77777777" w:rsidR="00413E4D" w:rsidRPr="009870FE" w:rsidRDefault="00413E4D" w:rsidP="009870FE">
      <w:pPr>
        <w:pStyle w:val="Nagwek3"/>
        <w:shd w:val="clear" w:color="auto" w:fill="FFFFFF"/>
        <w:spacing w:before="0" w:line="300" w:lineRule="atLeast"/>
        <w:jc w:val="both"/>
        <w:rPr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  <w:lang w:val="en-CA"/>
        </w:rPr>
      </w:pPr>
      <w:r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 xml:space="preserve">A select number of scholarships will be awarded to participants from Eastern Partnership countries </w:t>
      </w:r>
      <w:r w:rsidRPr="009870FE">
        <w:rPr>
          <w:rFonts w:ascii="Arial" w:hAnsi="Arial" w:cs="Arial"/>
          <w:color w:val="000000"/>
          <w:sz w:val="20"/>
          <w:szCs w:val="20"/>
          <w:lang w:val="en-CA"/>
        </w:rPr>
        <w:t>(Armenia</w:t>
      </w:r>
      <w:r w:rsidR="0071151D" w:rsidRPr="009870FE">
        <w:rPr>
          <w:rFonts w:ascii="Arial" w:hAnsi="Arial" w:cs="Arial"/>
          <w:color w:val="000000"/>
          <w:sz w:val="20"/>
          <w:szCs w:val="20"/>
          <w:lang w:val="en-CA"/>
        </w:rPr>
        <w:t xml:space="preserve">, Azerbaijan, Belarus, Georgia, </w:t>
      </w:r>
      <w:r w:rsidR="005B3FAA" w:rsidRPr="009870FE">
        <w:rPr>
          <w:rFonts w:ascii="Arial" w:hAnsi="Arial" w:cs="Arial"/>
          <w:color w:val="000000"/>
          <w:sz w:val="20"/>
          <w:szCs w:val="20"/>
          <w:lang w:val="en-CA"/>
        </w:rPr>
        <w:t xml:space="preserve">Moldova, Ukraine).  To be considered for a </w:t>
      </w:r>
      <w:r w:rsidRPr="009870FE">
        <w:rPr>
          <w:rFonts w:ascii="Arial" w:hAnsi="Arial" w:cs="Arial"/>
          <w:color w:val="000000"/>
          <w:sz w:val="20"/>
          <w:szCs w:val="20"/>
          <w:lang w:val="en-CA"/>
        </w:rPr>
        <w:t xml:space="preserve">scholarship, you must have completed your 4th year of studies </w:t>
      </w:r>
      <w:r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>(graduate students, doctoral candidates and early career professionals may also apply).</w:t>
      </w:r>
    </w:p>
    <w:p w14:paraId="2C7BBAC8" w14:textId="77777777" w:rsidR="00C040E7" w:rsidRPr="009870FE" w:rsidRDefault="00C040E7" w:rsidP="009870FE">
      <w:pPr>
        <w:pStyle w:val="Nagwek3"/>
        <w:shd w:val="clear" w:color="auto" w:fill="FFFFFF"/>
        <w:spacing w:before="0" w:line="300" w:lineRule="atLeast"/>
        <w:jc w:val="both"/>
        <w:rPr>
          <w:rStyle w:val="Pogrubieni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lang w:val="en-CA"/>
        </w:rPr>
      </w:pPr>
    </w:p>
    <w:p w14:paraId="21B94F38" w14:textId="77777777" w:rsidR="00C040E7" w:rsidRPr="009870FE" w:rsidRDefault="00C040E7" w:rsidP="009870FE">
      <w:pPr>
        <w:pStyle w:val="Nagwek3"/>
        <w:shd w:val="clear" w:color="auto" w:fill="FFFFFF"/>
        <w:spacing w:before="0" w:line="300" w:lineRule="atLeast"/>
        <w:jc w:val="both"/>
        <w:rPr>
          <w:rStyle w:val="Pogrubieni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lang w:val="en-CA"/>
        </w:rPr>
      </w:pPr>
      <w:r w:rsidRPr="009870FE">
        <w:rPr>
          <w:rStyle w:val="Pogrubienie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lang w:val="en-CA"/>
        </w:rPr>
        <w:t>Application</w:t>
      </w:r>
    </w:p>
    <w:p w14:paraId="5D20D289" w14:textId="77777777" w:rsidR="00413E4D" w:rsidRPr="009870FE" w:rsidRDefault="00C040E7" w:rsidP="009870FE">
      <w:pPr>
        <w:pStyle w:val="Nagwek3"/>
        <w:shd w:val="clear" w:color="auto" w:fill="FFFFFF"/>
        <w:spacing w:before="0" w:line="300" w:lineRule="atLeast"/>
        <w:jc w:val="both"/>
        <w:rPr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  <w:lang w:val="en-CA"/>
        </w:rPr>
      </w:pPr>
      <w:r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>To apply to the workshop and also, for the scholarship, you need to</w:t>
      </w:r>
      <w:r w:rsidR="00413E4D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 xml:space="preserve"> submit</w:t>
      </w:r>
      <w:r w:rsidR="000D7A49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 xml:space="preserve"> your</w:t>
      </w:r>
      <w:r w:rsidR="00413E4D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 xml:space="preserve"> CV (in </w:t>
      </w:r>
      <w:proofErr w:type="spellStart"/>
      <w:r w:rsidR="00413E4D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>Europass</w:t>
      </w:r>
      <w:proofErr w:type="spellEnd"/>
      <w:r w:rsidR="00413E4D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 xml:space="preserve"> format) &amp; </w:t>
      </w:r>
      <w:r w:rsidR="000D7A49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 xml:space="preserve">a </w:t>
      </w:r>
      <w:r w:rsidR="00413E4D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 xml:space="preserve">short Statement of Motivation to the </w:t>
      </w:r>
      <w:r w:rsidR="000D7A49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>“</w:t>
      </w:r>
      <w:r w:rsidR="00413E4D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>APPLY</w:t>
      </w:r>
      <w:r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 xml:space="preserve"> here</w:t>
      </w:r>
      <w:r w:rsidR="000D7A49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>”</w:t>
      </w:r>
      <w:r w:rsidR="00413E4D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 xml:space="preserve"> link </w:t>
      </w:r>
      <w:r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>below</w:t>
      </w:r>
      <w:r w:rsidR="00413E4D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>. The scholarship covers accommodation, meals (breakfasts, lun</w:t>
      </w:r>
      <w:r w:rsidR="000D7A49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>ches, coffee breaks), workshop, materials &amp;</w:t>
      </w:r>
      <w:r w:rsidR="00413E4D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 xml:space="preserve"> certificates. Participants are expected to arrange their own travel</w:t>
      </w:r>
      <w:r w:rsidR="000D7A49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>,</w:t>
      </w:r>
      <w:r w:rsidR="00413E4D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 xml:space="preserve"> and visas if necessary</w:t>
      </w:r>
      <w:r w:rsidR="0071151D" w:rsidRPr="009870FE">
        <w:rPr>
          <w:rFonts w:ascii="Arial" w:hAnsi="Arial" w:cs="Arial"/>
          <w:b w:val="0"/>
          <w:color w:val="000000"/>
          <w:sz w:val="20"/>
          <w:szCs w:val="20"/>
          <w:lang w:val="en-CA"/>
        </w:rPr>
        <w:t xml:space="preserve">. </w:t>
      </w:r>
    </w:p>
    <w:p w14:paraId="4F39BEA4" w14:textId="77777777" w:rsidR="0071151D" w:rsidRPr="009870FE" w:rsidRDefault="004C3728" w:rsidP="009870FE">
      <w:pPr>
        <w:pStyle w:val="NormalnyWeb"/>
        <w:shd w:val="clear" w:color="auto" w:fill="FFFFFF"/>
        <w:spacing w:before="240" w:beforeAutospacing="0" w:after="240" w:afterAutospacing="0" w:line="270" w:lineRule="atLeast"/>
        <w:jc w:val="both"/>
        <w:rPr>
          <w:rFonts w:ascii="Arial" w:hAnsi="Arial" w:cs="Arial"/>
          <w:b/>
          <w:color w:val="000000"/>
          <w:sz w:val="20"/>
          <w:szCs w:val="20"/>
          <w:lang w:val="en-CA"/>
        </w:rPr>
      </w:pPr>
      <w:r w:rsidRPr="009870FE">
        <w:rPr>
          <w:rFonts w:ascii="Arial" w:hAnsi="Arial" w:cs="Arial"/>
          <w:b/>
          <w:color w:val="000000"/>
          <w:sz w:val="20"/>
          <w:szCs w:val="20"/>
          <w:lang w:val="en-CA"/>
        </w:rPr>
        <w:t>Apply</w:t>
      </w:r>
      <w:r w:rsidR="00210C69" w:rsidRPr="009870FE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</w:t>
      </w:r>
      <w:hyperlink r:id="rId9" w:history="1">
        <w:r w:rsidR="00210C69" w:rsidRPr="009870FE">
          <w:rPr>
            <w:rStyle w:val="Hipercze"/>
            <w:rFonts w:ascii="Arial" w:hAnsi="Arial" w:cs="Arial"/>
            <w:b/>
            <w:sz w:val="20"/>
            <w:szCs w:val="20"/>
            <w:lang w:val="en-CA"/>
          </w:rPr>
          <w:t>here</w:t>
        </w:r>
      </w:hyperlink>
    </w:p>
    <w:p w14:paraId="7553707E" w14:textId="77777777" w:rsidR="00F57B7D" w:rsidRPr="009870FE" w:rsidRDefault="00F57B7D" w:rsidP="00987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pl-PL"/>
        </w:rPr>
      </w:pPr>
    </w:p>
    <w:p w14:paraId="1D0F8697" w14:textId="77777777" w:rsidR="000D7A49" w:rsidRPr="009870FE" w:rsidRDefault="000D7A49" w:rsidP="009870FE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0D7A49" w:rsidRPr="009870FE" w:rsidSect="0071151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0FAA"/>
    <w:multiLevelType w:val="multilevel"/>
    <w:tmpl w:val="2DDA87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1C"/>
    <w:rsid w:val="00034317"/>
    <w:rsid w:val="00053A95"/>
    <w:rsid w:val="000D425D"/>
    <w:rsid w:val="000D7A49"/>
    <w:rsid w:val="000E3180"/>
    <w:rsid w:val="00210C69"/>
    <w:rsid w:val="00253435"/>
    <w:rsid w:val="003A02F7"/>
    <w:rsid w:val="00413E4D"/>
    <w:rsid w:val="004C1434"/>
    <w:rsid w:val="004C3728"/>
    <w:rsid w:val="005B3FAA"/>
    <w:rsid w:val="0067119C"/>
    <w:rsid w:val="0071151D"/>
    <w:rsid w:val="009870FE"/>
    <w:rsid w:val="00BD0515"/>
    <w:rsid w:val="00C040E7"/>
    <w:rsid w:val="00E2166B"/>
    <w:rsid w:val="00EE6E1C"/>
    <w:rsid w:val="00F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DB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7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qj">
    <w:name w:val="aqj"/>
    <w:basedOn w:val="Domylnaczcionkaakapitu"/>
    <w:rsid w:val="00F57B7D"/>
  </w:style>
  <w:style w:type="character" w:styleId="Hipercze">
    <w:name w:val="Hyperlink"/>
    <w:basedOn w:val="Domylnaczcionkaakapitu"/>
    <w:uiPriority w:val="99"/>
    <w:unhideWhenUsed/>
    <w:rsid w:val="00F57B7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7B7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57B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02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omylnaczcionkaakapitu"/>
    <w:rsid w:val="00413E4D"/>
  </w:style>
  <w:style w:type="paragraph" w:styleId="Akapitzlist">
    <w:name w:val="List Paragraph"/>
    <w:basedOn w:val="Normalny"/>
    <w:uiPriority w:val="34"/>
    <w:qFormat/>
    <w:rsid w:val="00413E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7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qj">
    <w:name w:val="aqj"/>
    <w:basedOn w:val="Domylnaczcionkaakapitu"/>
    <w:rsid w:val="00F57B7D"/>
  </w:style>
  <w:style w:type="character" w:styleId="Hipercze">
    <w:name w:val="Hyperlink"/>
    <w:basedOn w:val="Domylnaczcionkaakapitu"/>
    <w:uiPriority w:val="99"/>
    <w:unhideWhenUsed/>
    <w:rsid w:val="00F57B7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7B7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57B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02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omylnaczcionkaakapitu"/>
    <w:rsid w:val="00413E4D"/>
  </w:style>
  <w:style w:type="paragraph" w:styleId="Akapitzlist">
    <w:name w:val="List Paragraph"/>
    <w:basedOn w:val="Normalny"/>
    <w:uiPriority w:val="34"/>
    <w:qFormat/>
    <w:rsid w:val="00413E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u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s.de/polen/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isegradschool.org/ed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D039-8926-49D9-801E-95767144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33F29286.dotm</Template>
  <TotalTime>1</TotalTime>
  <Pages>1</Pages>
  <Words>471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Chaduneli</dc:creator>
  <cp:lastModifiedBy>Katarzyna Waksmundzka</cp:lastModifiedBy>
  <cp:revision>2</cp:revision>
  <dcterms:created xsi:type="dcterms:W3CDTF">2015-08-04T12:51:00Z</dcterms:created>
  <dcterms:modified xsi:type="dcterms:W3CDTF">2015-08-04T12:51:00Z</dcterms:modified>
</cp:coreProperties>
</file>